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12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Муниципальное казенное дошкольное образовательное учреждение детский сад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Байр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12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12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                                                                   </w:t>
      </w:r>
    </w:p>
    <w:p>
      <w:pPr>
        <w:spacing w:before="0" w:after="0" w:line="312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                           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Утверждаю:</w:t>
      </w:r>
    </w:p>
    <w:p>
      <w:pPr>
        <w:spacing w:before="0" w:after="0" w:line="312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Заведующий МКДОУ д/с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Байр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312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__________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Сангаджиева Э.С.</w:t>
      </w: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          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ОТЧЕТ ПО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самообследованию за 2023-2024 учебный год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  <w:t xml:space="preserve">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  <w:t xml:space="preserve">                                            </w:t>
      </w:r>
      <w:r>
        <w:rPr>
          <w:rFonts w:ascii="Georgia" w:hAnsi="Georgia" w:cs="Georgia" w:eastAsia="Georgia"/>
          <w:b/>
          <w:i/>
          <w:color w:val="333333"/>
          <w:spacing w:val="0"/>
          <w:position w:val="0"/>
          <w:sz w:val="24"/>
          <w:shd w:fill="auto" w:val="clear"/>
        </w:rPr>
        <w:t xml:space="preserve">п. Привольный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b/>
          <w:i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Полное наименование в соответствии с Уставом: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муниципальное казенное дошкольное образовательное учреждение 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Байр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Сокращенное наименование  в соответствии с Уставом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МКДОУ  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Байр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Юридический 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359157,  Республика Калмыкия, Яшкульский район, п.Привольный,  ул.Советская,23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Фактический 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359157,  Республика Калмыкия, Яшкульский район, п.Привольный,  ул.Советская,23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Контактная информация:</w:t>
      </w:r>
    </w:p>
    <w:tbl>
      <w:tblPr/>
      <w:tblGrid>
        <w:gridCol w:w="9585"/>
      </w:tblGrid>
      <w:tr>
        <w:trPr>
          <w:trHeight w:val="1" w:hRule="atLeast"/>
          <w:jc w:val="left"/>
        </w:trPr>
        <w:tc>
          <w:tcPr>
            <w:tcW w:w="9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8(847 46)93-643 эл. почта: elza.sangadzhieva@mail.ru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сайт:  wwwdoubair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Режим работы: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Пятидневная рабочая неделя с 7.30 до 16.30.Выходные: суббота, воскресенье, праздничные дни. Время пребывания детей: 9-ти часовое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Аналитическая часть представлена следующими направлениями: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оценка образовательной деятельности;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оценка системы управления организации;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оценка содержания и качества подготовки выпускников;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оценка организации учебного процесса;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оценка учебно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методического обеспечения;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оценка материально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технической базы;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оценка функционирования  внутренней системы оценки качества образования;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оценка условий для организации питания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Анализ показателей деятельности проведен в соответствии  с приказом Министерства образования и науки Российской Федерации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1324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показателей деятельности образовательной организации, подлежащей самообследованию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Оценка образовательной деятельности.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Образовательная деятельность в ДОУ строится в соответствии с нормативно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правовыми документами. В дошкольном образовательном учреждении разработана и принята на заседании педагогического совета от 13.09.2021 г ( 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  <w:br/>
        <w:t xml:space="preserve"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составлена в соответствии с образовательными областями: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Физическое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Социально-коммуникативное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Художественно-эстетическое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 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Базовая  программа: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Примерная общеобразовательная Программа дошкольного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 редакцией Н.Е.Вераксы, Т.С. Комаровой,  М. А. Васильевой.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Вывод: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ДО.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1.2. 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Оценка системы управления организации.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29.12.2012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Учредитель: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 Администрация Яшкульского районного муниципального  образования Республики Калмыкии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ДОУ сформированы коллегиальные органы управления: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Общее собрание работников Учреждения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представляет полномочия работников ДОУ, в состав Общего собрания входят все работники ДОУ.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Педагогический совет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Совет родителей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Положением об Общем собрании работников Учреждения;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Положением о Педагогическом совете;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Положением о Совете родителей (законных представителей).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ДОУ используются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Вывод: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 1.3.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Оценка содержания и качества подготовки воспитанников.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Мониторинг образовательного процесса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Мониторинг детского развития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Мониторинг детского развития проводится на основе оценки развития интегративных качеств ребенка.  Основная задача этого вида мониторинга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2"/>
          <w:shd w:fill="auto" w:val="clear"/>
        </w:rPr>
        <w:t xml:space="preserve">познавательных, коммуникативных и регуляторных.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         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Согласно требованиям федерального государственного образовательного стандарта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95%.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Согласно годовому плану работы ДОУ на 2023-2024 учебный год в детском саду в 2-х группах  проводилась  педагогическая диагностика уровня усвоения программного материала с учетом возрастных, индивидуальных особенностей ребенка  по всем разделам реализуемой программы.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Анализ качества усвоения программы, отдельных разделов  позволяет получить средний показатель сформированности знаний, умений и навыков по основным образовательным областям: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Наиболее высокие результаты показаны детьми по разделам программы: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Художественно-эстетическое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67%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Физическое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73%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Несколько ниже результаты по разделам: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61%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Социально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коммуникативное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61%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усвоения образовательной программы детьми МКДОУ 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Байр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 год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82"/>
        <w:gridCol w:w="2178"/>
        <w:gridCol w:w="1843"/>
        <w:gridCol w:w="1524"/>
        <w:gridCol w:w="1878"/>
        <w:gridCol w:w="1666"/>
      </w:tblGrid>
      <w:tr>
        <w:trPr>
          <w:trHeight w:val="1" w:hRule="atLeast"/>
          <w:jc w:val="left"/>
        </w:trPr>
        <w:tc>
          <w:tcPr>
            <w:tcW w:w="4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Образовательные области</w:t>
            </w:r>
          </w:p>
        </w:tc>
        <w:tc>
          <w:tcPr>
            <w:tcW w:w="691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Результаты уровня развития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Начало года</w:t>
            </w:r>
          </w:p>
        </w:tc>
        <w:tc>
          <w:tcPr>
            <w:tcW w:w="35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Конец года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высокий</w:t>
            </w:r>
          </w:p>
        </w:tc>
        <w:tc>
          <w:tcPr>
            <w:tcW w:w="15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положительный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высокий</w:t>
            </w:r>
          </w:p>
        </w:tc>
        <w:tc>
          <w:tcPr>
            <w:tcW w:w="1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положительный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Соответствует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возрасту</w:t>
            </w:r>
          </w:p>
        </w:tc>
        <w:tc>
          <w:tcPr>
            <w:tcW w:w="15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Соответствует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возрасту</w:t>
            </w:r>
          </w:p>
        </w:tc>
        <w:tc>
          <w:tcPr>
            <w:tcW w:w="1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6" w:hRule="auto"/>
          <w:jc w:val="left"/>
        </w:trPr>
        <w:tc>
          <w:tcPr>
            <w:tcW w:w="4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развитие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5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22%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90%</w:t>
            </w:r>
          </w:p>
        </w:tc>
      </w:tr>
      <w:tr>
        <w:trPr>
          <w:trHeight w:val="328" w:hRule="auto"/>
          <w:jc w:val="left"/>
        </w:trPr>
        <w:tc>
          <w:tcPr>
            <w:tcW w:w="4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5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45" w:hRule="auto"/>
          <w:jc w:val="left"/>
        </w:trPr>
        <w:tc>
          <w:tcPr>
            <w:tcW w:w="4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Социально-коммуникативное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5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75%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100%</w:t>
            </w:r>
          </w:p>
        </w:tc>
      </w:tr>
      <w:tr>
        <w:trPr>
          <w:trHeight w:val="543" w:hRule="auto"/>
          <w:jc w:val="left"/>
        </w:trPr>
        <w:tc>
          <w:tcPr>
            <w:tcW w:w="4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5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4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28%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65%</w:t>
            </w:r>
          </w:p>
        </w:tc>
      </w:tr>
      <w:tr>
        <w:trPr>
          <w:trHeight w:val="291" w:hRule="auto"/>
          <w:jc w:val="left"/>
        </w:trPr>
        <w:tc>
          <w:tcPr>
            <w:tcW w:w="4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5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Речевое развитие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5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28%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81%</w:t>
            </w:r>
          </w:p>
        </w:tc>
      </w:tr>
      <w:tr>
        <w:trPr>
          <w:trHeight w:val="366" w:hRule="auto"/>
          <w:jc w:val="left"/>
        </w:trPr>
        <w:tc>
          <w:tcPr>
            <w:tcW w:w="4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5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18" w:hRule="auto"/>
          <w:jc w:val="left"/>
        </w:trPr>
        <w:tc>
          <w:tcPr>
            <w:tcW w:w="4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Художественноэстетическое развитие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39%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80%</w:t>
            </w:r>
          </w:p>
        </w:tc>
      </w:tr>
      <w:tr>
        <w:trPr>
          <w:trHeight w:val="442" w:hRule="auto"/>
          <w:jc w:val="left"/>
        </w:trPr>
        <w:tc>
          <w:tcPr>
            <w:tcW w:w="4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5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Итоговый результат по ДОУ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37%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70%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 таблицы видно, что, лучше всего, положительный результат в образовательных областях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Физическое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- 73%,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- 73%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Художественно-эстетическое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- 67%.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Общий положительный результат по усвоению программы составил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67%,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 соответствует высокому уровню усвоения программы. 33% соответствует среднему уровню развития, из них 2 воспитанника показали результаты ниже среднего уровня по причине здоровья.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конец года 89% воспитанников имеют общий положительный уровень развития по всем образовательным областям.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Мониторинг воспитательно-образовательного процесса показал положительную динамику развития. Для достижения высоких результатов в ходе воспитательно-образовательного процесса использовались проблемные практические и познавательные ситуации, в которых дети самостоятельно применяли освоенные приёмы, способствующие освоению системы разнообразных обследовательских действий, приёмов простого анализа, сравнения, умения наблюдать. Для развития детской самостоятельности и инициативности применялись приёмы индивидуального подхода, позволяющие обращать внимание на уровень умений у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Вывод: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2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ДО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детского сада.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1.4.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Оценка организации учебного процесса.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Общая численность воспитанников, осваивающих образовательную программу дошкольного образования в 2023- 2024 учебном году составило 20 детей в возрасте от 2 до 6 лет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 МКДОУ детском саду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Байр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функционирует 2  группы  общеразвивающей направленности. Старшая национальная и вторая младшая группа.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Воспитательно-образовательная работа организуется в соответствии с Образовательной программой.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Учреждение предоставляет бесплатные дополнительные услуги в рамках основной образовательной деятельности: кружок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Булг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 старшей национальной группе.  Кружок младшей 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Мастерилка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Кружковой работой охвачено 100% воспитанников.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Образовательная деятельность планируется согласно циклограмме НОД, утверждённой  на педсовете.  Непосредственно образовательная деятельность организуются с 1 сентября  по 30 мая.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Работа в группе организуется  по перспективному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составлении циклограммы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Контроль  над  ходом и результатами воспитательно-образовательной работы с детьми в возрастных группах ДОУ осуществляется целенаправленно, носит системный характер.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Вывод: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Оценка кадрового обеспечения.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детском саду работает  2 педагога , имеющие  высшее образование педагогической направленности. Стаж педагогической работы педагогов : воспитатель младшей группы Утаева О.А. -  4 года; воспитатель старшей национальной группы  Лиджиева Г.С. -  6 лет.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Вывод: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ДОи ФОП ДО.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Оценка учебно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методического обеспечения.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Учебно-методическое обеспечение не полностью соответствует  ООПДО ДОУ. За 2023-2024  учебный год значительно увеличилось количество наглядных пособий за счёт спонсорской помощи родителей : приобретены  дидактические наглядные материалы,  игрушки, учебное оборудование,  руками педагогов сделаны пособия для развития  мелкой моторики рук, дорожки для профилактики плоскостопия, игры для логики и концентрации внимания и т.п.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2023-2024 учебном году воспитанники ДОУ  совместно с педагогами и родителями принимали  участие в республиканских творческих конкурсах, проводимых БУ КРИПКРО г.Элисты. В основном наши дети и педагоги  получили дипломы I  и II степени. Информационное обеспечение образовательного процесса ДОУ включает: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Программное обеспечение имеющихся компьютеров позволяет работать с текстовыми редакторами, с Интернет ресурсами;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  электронная почта, сайт учреждения.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Оценка материально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технической базы.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МКДОУ детский 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Байр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располагается в   приспособленном  здании. Здание  одноэтажное, 1968 года постройки.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Воспитательно-образовательный процесс осуществляется на площади 191,1 кв.м.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Площадь земельного участка составляет 1440 кв. 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Здание детского сада имеет ограждённую территорию с металлическим забором, 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газовой котельной, канализацией.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Имеется игровая площадка, 2 теневых навеса, 1 теневой навес находится в аварийном состоянии, требуется капитальный ремонт.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учреждение  отсутствует музыкальный и спортивный зал, недостаточно обеспечено учебно-наглядными пособиями и спортинвентарём.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Имеются технические средства обучения: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телевизора;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музыкальная колонка;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музыкальный центр;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- 2 DVD;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компьютер;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МФУ;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видеопроектор.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группе созданы условия  для разных видов детской деятельности: игровой, изобразительной, познавательной, конструктивной.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МКДОУ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установлен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Стрелец-мониторинг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разработан паспорт антитеррористической безопасности учреждения.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травматизму, также антитеррористической  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 и все  государственные образовательные учреждения, наше МКДОУ получает  бюджетное нормативное финансирование, которое распределяется следующим образом: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заработная плата сотрудников;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расходы на коммунальные платежи и содержание здания;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питания детей;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учебном  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 всех помещениях детского сада силами сотрудников  сделан косметический ремонт. Ремонт сделан на средства,  выделенные за счет учредителя.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Функционирование  внутренней системы оценки качества образования.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  В детском саду используются эффективные формы контроля: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различные виды мониторинга: управленческий,  педагогический,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контроль состояния здоровья детей,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социологические исследования семей.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―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охрана  и укрепление здоровья воспитанников,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―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воспитательно-образовательный процесс,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―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кадры,  аттестация педагога, повышение квалификации,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―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взаимодействие с социумом,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―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административно-хозяйственная и финансовая деятельность,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―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питание детей,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―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техника безопасности и охрана труда работников  и жизни воспитанников.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Вопросы контроля рассматриваются на общих собраниях работников,  педагогических советах.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помощью тестов, анкет, бесед изучается уровень педагогической компетентности родителей, их взгляды на воспитание детей, их запросы, желания.  Периодически изучая, уровень удовлетворенности родителей работой ДОУ, корректируются направления сотрудничества с ними.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начале учебного года  традиционно проводит анкетирование родителей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целью: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выявления  удовлетворенности родителей образовательной работой;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изучения отношения родителей к работе ДОУ;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выявление сильных и слабых сторон работы ДОУ.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Результаты анкетирования 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Внутренняя оценка осуществляется мониторингом, контрольными мероприятиями.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auto" w:val="clear"/>
        </w:rPr>
        <w:t xml:space="preserve">Вывод: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Система внутренней оценки качества образования функционирует в соответствии с требованиями  действующего законодательства.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1.9.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медицинского обеспечения образовательного процесса.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Медицинское обслуживание детей МКДОУ  осуществляется медицинскими работниками Привольненского ООВП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Оздоровительная работа в ДОУ проводится на основе нормативно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правовых документов: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52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санитарно-эпидемиологическом благополучии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СанПиН 2.4.1.3049-13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Санитарно-эпидемиологические требования к устройству, содержанию и организации режима работы дошкольных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ДОУ создан  комплекс гигиенических,  психолого-педагогических  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занятий с детьми имеется  оборудование. В ДОУ имеется спортивный уголок, но нет   спортивного зала и достаточного  количества разнообразного спортивно-игрового оборудования.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Педагогами  проводится  как традиционные, так и нетрадиционные физкультурные занятия: дыхательная гимнастика, пальчиковая гимнастика.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Большая роль в пропаганде физкультуры и спорта отводится работе с родителями.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1.10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Оценка условий для организации питания.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МКДОУ организовано  4 х-разовое питание. Для организации питания  были заключены договора с поставщиками на поставку продуктов. Все продукты сопровождаются сертификатами  качества.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Проводится витаминизация третьих блюд.  Бракеражная комиссия МКДОУ систематически осуществляет контроль за правильностью обработки продуктов,  закладкой, выходом блюд, вкусовыми качествами пищи.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Информация о питании детей доводится до родителей, меню размещается на стенде в комнате для приёма детей.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Показатели деятельности ДОУ </w:t>
      </w:r>
    </w:p>
    <w:tbl>
      <w:tblPr/>
      <w:tblGrid>
        <w:gridCol w:w="1270"/>
        <w:gridCol w:w="5730"/>
        <w:gridCol w:w="2585"/>
      </w:tblGrid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Показатели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Единица измерения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Образовательная деятельность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1.1.1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режиме полного дня (9 часов)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1.1.2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режиме кратковременного пребывания (3-5 часов)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1.1.3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семейной дошкольной группе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1.1.4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1.2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численность воспитанников в возрасте до 3 лет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численность воспитанников в возрасте от 3 до 8  лет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/ 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1.4.1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режиме полного дня (9 часов)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человек/100%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1.4.2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режиме продлённого дня (12-14 часов)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1.4.3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режиме круглосуточного пребывания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1.5.1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коррекции недостатков в физическом и (или) психическом развитии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 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1.5.2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освоению образовательной программы дошкольного образования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1.5.3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присмотру и уходу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1.6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дней 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1.7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численность педагогических работников, в том числе: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1.7.1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человек/100%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1.7.2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1.7.3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 0% 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1.7.4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человек/100% 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1.8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человек/100% 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1.8.1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Высшая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1.8.2.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Первая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 50 % 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1.9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1.9.1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 5 лет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2человек/0%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1.9.2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Свыше 30 лет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 0 %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1.10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1.11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0человек/ 0%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1.12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человек/0 % 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1.13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человек/0% 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1.14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Соотношение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педагогический работник/воспитанник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дошкольной образовательной организации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человек/человек10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1.15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в образовательной организации следующих педагогических работников: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1.15.1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Музыкального руководителя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1.15.2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Инструктора по физической культуре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1.15.3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Учителя-логопеда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1.15.4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Логопеда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1.15.5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Учителя-дефектолога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1.15.6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Педагога-психолога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Инфраструктура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2.1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5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2.2.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Площадь помещений для организации дополнительных видов деятельности воспитанников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2.3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физкультурного зала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2.4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музыкального зала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27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2.5</w:t>
            </w:r>
          </w:p>
        </w:tc>
        <w:tc>
          <w:tcPr>
            <w:tcW w:w="5730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 </w:t>
            </w:r>
          </w:p>
        </w:tc>
        <w:tc>
          <w:tcPr>
            <w:tcW w:w="2585" w:type="dxa"/>
            <w:tcBorders>
              <w:top w:val="single" w:color="e7e7e7" w:sz="6"/>
              <w:left w:val="single" w:color="e7e7e7" w:sz="6"/>
              <w:bottom w:val="single" w:color="e7e7e7" w:sz="6"/>
              <w:right w:val="single" w:color="e7e7e7" w:sz="6"/>
            </w:tcBorders>
            <w:shd w:color="auto" w:fill="auto" w:val="clear"/>
            <w:tcMar>
              <w:left w:w="360" w:type="dxa"/>
              <w:right w:w="36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14">
    <w:abstractNumId w:val="6"/>
  </w:num>
  <w:num w:numId="9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